
<file path=[Content_Types].xml><?xml version="1.0" encoding="utf-8"?>
<Types xmlns="http://schemas.openxmlformats.org/package/2006/content-types">
  <Default Extension="jp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A2DB9" w14:textId="77777777" w:rsidR="00A603F0" w:rsidRPr="00FD0555" w:rsidRDefault="00A603F0" w:rsidP="00A603F0">
      <w:pPr>
        <w:jc w:val="center"/>
        <w:rPr>
          <w:rFonts w:asciiTheme="majorHAnsi" w:hAnsiTheme="majorHAnsi" w:cstheme="majorHAnsi"/>
          <w:sz w:val="22"/>
          <w:szCs w:val="22"/>
          <w:lang w:val="en-US"/>
        </w:rPr>
      </w:pPr>
      <w:r w:rsidRPr="00FD0555">
        <w:rPr>
          <w:noProof/>
          <w:lang w:val="en-US"/>
        </w:rPr>
        <w:drawing>
          <wp:inline distT="0" distB="0" distL="0" distR="0" wp14:anchorId="73024830" wp14:editId="098DC681">
            <wp:extent cx="3299460" cy="1127098"/>
            <wp:effectExtent l="0" t="0" r="0" b="0"/>
            <wp:docPr id="5" name="Resim 4">
              <a:extLst xmlns:a="http://schemas.openxmlformats.org/drawingml/2006/main">
                <a:ext uri="{FF2B5EF4-FFF2-40B4-BE49-F238E27FC236}">
                  <a16:creationId xmlns:a16="http://schemas.microsoft.com/office/drawing/2014/main" id="{2F476D3A-F437-A53C-2C16-5B53BD52DA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4">
                      <a:extLst>
                        <a:ext uri="{FF2B5EF4-FFF2-40B4-BE49-F238E27FC236}">
                          <a16:creationId xmlns:a16="http://schemas.microsoft.com/office/drawing/2014/main" id="{2F476D3A-F437-A53C-2C16-5B53BD52DA80}"/>
                        </a:ext>
                      </a:extLst>
                    </pic:cNvPr>
                    <pic:cNvPicPr>
                      <a:picLocks noChangeAspect="1"/>
                    </pic:cNvPicPr>
                  </pic:nvPicPr>
                  <pic:blipFill>
                    <a:blip r:embed="rId7"/>
                    <a:stretch>
                      <a:fillRect/>
                    </a:stretch>
                  </pic:blipFill>
                  <pic:spPr>
                    <a:xfrm>
                      <a:off x="0" y="0"/>
                      <a:ext cx="3342744" cy="1141884"/>
                    </a:xfrm>
                    <a:prstGeom prst="rect">
                      <a:avLst/>
                    </a:prstGeom>
                  </pic:spPr>
                </pic:pic>
              </a:graphicData>
            </a:graphic>
          </wp:inline>
        </w:drawing>
      </w:r>
    </w:p>
    <w:p w14:paraId="1B8B73F5" w14:textId="77777777" w:rsidR="00A603F0" w:rsidRPr="00FD0555" w:rsidRDefault="00A603F0" w:rsidP="00A603F0">
      <w:pPr>
        <w:jc w:val="center"/>
        <w:rPr>
          <w:rFonts w:asciiTheme="majorHAnsi" w:hAnsiTheme="majorHAnsi" w:cstheme="majorHAnsi"/>
          <w:sz w:val="22"/>
          <w:szCs w:val="22"/>
          <w:lang w:val="en-US"/>
        </w:rPr>
      </w:pPr>
    </w:p>
    <w:p w14:paraId="32D9F15E" w14:textId="77777777" w:rsidR="00A603F0" w:rsidRPr="00FD0555" w:rsidRDefault="00A603F0" w:rsidP="00A603F0">
      <w:pPr>
        <w:jc w:val="center"/>
        <w:rPr>
          <w:rFonts w:asciiTheme="majorHAnsi" w:hAnsiTheme="majorHAnsi" w:cstheme="majorHAnsi"/>
          <w:sz w:val="22"/>
          <w:szCs w:val="22"/>
          <w:lang w:val="en-US"/>
        </w:rPr>
      </w:pPr>
    </w:p>
    <w:p w14:paraId="129594B8" w14:textId="77777777" w:rsidR="00A603F0" w:rsidRPr="00FD0555" w:rsidRDefault="00A603F0" w:rsidP="00A603F0">
      <w:pPr>
        <w:jc w:val="center"/>
        <w:rPr>
          <w:rFonts w:asciiTheme="majorHAnsi" w:hAnsiTheme="majorHAnsi" w:cstheme="majorHAnsi"/>
          <w:sz w:val="22"/>
          <w:szCs w:val="22"/>
          <w:lang w:val="en-US"/>
        </w:rPr>
      </w:pPr>
    </w:p>
    <w:p w14:paraId="79FF066B" w14:textId="6E0D62D6" w:rsidR="00A603F0" w:rsidRPr="00FD0555" w:rsidRDefault="00A603F0" w:rsidP="00A603F0">
      <w:pPr>
        <w:jc w:val="center"/>
        <w:rPr>
          <w:rFonts w:asciiTheme="majorHAnsi" w:hAnsiTheme="majorHAnsi" w:cstheme="majorHAnsi"/>
          <w:sz w:val="22"/>
          <w:szCs w:val="22"/>
          <w:lang w:val="en-US"/>
        </w:rPr>
      </w:pPr>
      <w:r w:rsidRPr="00FD0555">
        <w:rPr>
          <w:rFonts w:asciiTheme="majorHAnsi" w:hAnsiTheme="majorHAnsi" w:cstheme="majorHAnsi"/>
          <w:sz w:val="22"/>
          <w:szCs w:val="22"/>
          <w:lang w:val="en-US"/>
        </w:rPr>
        <w:t>Online Training on the Application of the Regional Guidelines – Value Chain Development and Market Access for Non-Wood Forest Products in Southeastern Europe, Central Asia, and the Caucasus</w:t>
      </w:r>
    </w:p>
    <w:p w14:paraId="47A635CD" w14:textId="77777777" w:rsidR="00A603F0" w:rsidRPr="00FD0555" w:rsidRDefault="00A603F0" w:rsidP="00A603F0">
      <w:pPr>
        <w:jc w:val="center"/>
        <w:rPr>
          <w:rFonts w:asciiTheme="majorHAnsi" w:hAnsiTheme="majorHAnsi" w:cstheme="majorHAnsi"/>
          <w:sz w:val="22"/>
          <w:szCs w:val="22"/>
          <w:lang w:val="en-US"/>
        </w:rPr>
      </w:pPr>
    </w:p>
    <w:p w14:paraId="4E6AC7EC" w14:textId="77777777" w:rsidR="00A603F0" w:rsidRPr="00FD0555" w:rsidRDefault="00A603F0" w:rsidP="00A603F0">
      <w:pPr>
        <w:jc w:val="center"/>
        <w:rPr>
          <w:rFonts w:asciiTheme="majorHAnsi" w:hAnsiTheme="majorHAnsi" w:cstheme="majorHAnsi"/>
          <w:sz w:val="22"/>
          <w:szCs w:val="22"/>
          <w:lang w:val="en-US"/>
        </w:rPr>
      </w:pPr>
    </w:p>
    <w:p w14:paraId="71848964" w14:textId="77777777" w:rsidR="00A603F0" w:rsidRPr="00FD0555" w:rsidRDefault="00A603F0" w:rsidP="00A603F0">
      <w:pPr>
        <w:ind w:left="1416"/>
        <w:rPr>
          <w:rFonts w:asciiTheme="majorHAnsi" w:hAnsiTheme="majorHAnsi" w:cstheme="majorHAnsi"/>
          <w:i/>
          <w:iCs/>
          <w:sz w:val="22"/>
          <w:szCs w:val="22"/>
          <w:lang w:val="en-US"/>
        </w:rPr>
      </w:pPr>
      <w:r w:rsidRPr="00FD0555">
        <w:rPr>
          <w:rFonts w:asciiTheme="majorHAnsi" w:hAnsiTheme="majorHAnsi" w:cstheme="majorHAnsi"/>
          <w:b/>
          <w:bCs/>
          <w:sz w:val="22"/>
          <w:szCs w:val="22"/>
          <w:lang w:val="en-US"/>
        </w:rPr>
        <w:t>Training Date</w:t>
      </w:r>
      <w:r w:rsidRPr="00FD0555">
        <w:rPr>
          <w:rFonts w:asciiTheme="majorHAnsi" w:hAnsiTheme="majorHAnsi" w:cstheme="majorHAnsi"/>
          <w:b/>
          <w:bCs/>
          <w:sz w:val="22"/>
          <w:szCs w:val="22"/>
          <w:lang w:val="en-US"/>
        </w:rPr>
        <w:tab/>
      </w:r>
      <w:r w:rsidRPr="00FD0555">
        <w:rPr>
          <w:rFonts w:asciiTheme="majorHAnsi" w:hAnsiTheme="majorHAnsi" w:cstheme="majorHAnsi"/>
          <w:b/>
          <w:bCs/>
          <w:sz w:val="22"/>
          <w:szCs w:val="22"/>
          <w:lang w:val="en-US"/>
        </w:rPr>
        <w:tab/>
        <w:t xml:space="preserve">: </w:t>
      </w:r>
      <w:r w:rsidRPr="00FD0555">
        <w:rPr>
          <w:rFonts w:asciiTheme="majorHAnsi" w:hAnsiTheme="majorHAnsi" w:cstheme="majorHAnsi"/>
          <w:sz w:val="22"/>
          <w:szCs w:val="22"/>
          <w:lang w:val="en-US"/>
        </w:rPr>
        <w:t>Thursday, 25 September 2025</w:t>
      </w:r>
      <w:r w:rsidRPr="00FD0555">
        <w:rPr>
          <w:rFonts w:asciiTheme="majorHAnsi" w:hAnsiTheme="majorHAnsi" w:cstheme="majorHAnsi"/>
          <w:sz w:val="22"/>
          <w:szCs w:val="22"/>
          <w:lang w:val="en-US"/>
        </w:rPr>
        <w:br/>
      </w:r>
      <w:r w:rsidRPr="00FD0555">
        <w:rPr>
          <w:rFonts w:asciiTheme="majorHAnsi" w:hAnsiTheme="majorHAnsi" w:cstheme="majorHAnsi"/>
          <w:b/>
          <w:bCs/>
          <w:sz w:val="22"/>
          <w:szCs w:val="22"/>
          <w:lang w:val="en-US"/>
        </w:rPr>
        <w:t>Time</w:t>
      </w:r>
      <w:r w:rsidRPr="00FD0555">
        <w:rPr>
          <w:rFonts w:asciiTheme="majorHAnsi" w:hAnsiTheme="majorHAnsi" w:cstheme="majorHAnsi"/>
          <w:b/>
          <w:bCs/>
          <w:sz w:val="22"/>
          <w:szCs w:val="22"/>
          <w:lang w:val="en-US"/>
        </w:rPr>
        <w:tab/>
      </w:r>
      <w:r w:rsidRPr="00FD0555">
        <w:rPr>
          <w:rFonts w:asciiTheme="majorHAnsi" w:hAnsiTheme="majorHAnsi" w:cstheme="majorHAnsi"/>
          <w:b/>
          <w:bCs/>
          <w:sz w:val="22"/>
          <w:szCs w:val="22"/>
          <w:lang w:val="en-US"/>
        </w:rPr>
        <w:tab/>
      </w:r>
      <w:r w:rsidRPr="00FD0555">
        <w:rPr>
          <w:rFonts w:asciiTheme="majorHAnsi" w:hAnsiTheme="majorHAnsi" w:cstheme="majorHAnsi"/>
          <w:b/>
          <w:bCs/>
          <w:sz w:val="22"/>
          <w:szCs w:val="22"/>
          <w:lang w:val="en-US"/>
        </w:rPr>
        <w:tab/>
        <w:t xml:space="preserve">: </w:t>
      </w:r>
      <w:r w:rsidRPr="00FD0555">
        <w:rPr>
          <w:rFonts w:asciiTheme="majorHAnsi" w:hAnsiTheme="majorHAnsi" w:cstheme="majorHAnsi"/>
          <w:sz w:val="22"/>
          <w:szCs w:val="22"/>
          <w:lang w:val="en-US"/>
        </w:rPr>
        <w:t>09:00 – 11:45 (Türkiye Time – TRT, UTC+3)</w:t>
      </w:r>
      <w:r w:rsidRPr="00FD0555">
        <w:rPr>
          <w:rFonts w:asciiTheme="majorHAnsi" w:hAnsiTheme="majorHAnsi" w:cstheme="majorHAnsi"/>
          <w:sz w:val="22"/>
          <w:szCs w:val="22"/>
          <w:lang w:val="en-US"/>
        </w:rPr>
        <w:br/>
      </w:r>
      <w:r w:rsidRPr="00FD0555">
        <w:rPr>
          <w:rFonts w:asciiTheme="majorHAnsi" w:hAnsiTheme="majorHAnsi" w:cstheme="majorHAnsi"/>
          <w:b/>
          <w:bCs/>
          <w:sz w:val="22"/>
          <w:szCs w:val="22"/>
          <w:lang w:val="en-US"/>
        </w:rPr>
        <w:t>Platform</w:t>
      </w:r>
      <w:r w:rsidRPr="00FD0555">
        <w:rPr>
          <w:rFonts w:asciiTheme="majorHAnsi" w:hAnsiTheme="majorHAnsi" w:cstheme="majorHAnsi"/>
          <w:b/>
          <w:bCs/>
          <w:sz w:val="22"/>
          <w:szCs w:val="22"/>
          <w:lang w:val="en-US"/>
        </w:rPr>
        <w:tab/>
      </w:r>
      <w:r w:rsidRPr="00FD0555">
        <w:rPr>
          <w:rFonts w:asciiTheme="majorHAnsi" w:hAnsiTheme="majorHAnsi" w:cstheme="majorHAnsi"/>
          <w:b/>
          <w:bCs/>
          <w:sz w:val="22"/>
          <w:szCs w:val="22"/>
          <w:lang w:val="en-US"/>
        </w:rPr>
        <w:tab/>
        <w:t xml:space="preserve">: </w:t>
      </w:r>
      <w:r w:rsidRPr="00FD0555">
        <w:rPr>
          <w:rFonts w:asciiTheme="majorHAnsi" w:hAnsiTheme="majorHAnsi" w:cstheme="majorHAnsi"/>
          <w:sz w:val="22"/>
          <w:szCs w:val="22"/>
          <w:lang w:val="en-US"/>
        </w:rPr>
        <w:t xml:space="preserve">Zoom </w:t>
      </w:r>
      <w:r w:rsidRPr="00FD0555">
        <w:rPr>
          <w:rFonts w:asciiTheme="majorHAnsi" w:hAnsiTheme="majorHAnsi" w:cstheme="majorHAnsi"/>
          <w:i/>
          <w:iCs/>
          <w:sz w:val="22"/>
          <w:szCs w:val="22"/>
          <w:lang w:val="en-US"/>
        </w:rPr>
        <w:t xml:space="preserve">(link will be provided after registration through </w:t>
      </w:r>
      <w:hyperlink r:id="rId8" w:history="1">
        <w:r w:rsidRPr="00FD0555">
          <w:rPr>
            <w:rStyle w:val="Kpr"/>
            <w:rFonts w:asciiTheme="majorHAnsi" w:hAnsiTheme="majorHAnsi" w:cstheme="majorHAnsi"/>
            <w:i/>
            <w:iCs/>
            <w:sz w:val="22"/>
            <w:szCs w:val="22"/>
            <w:lang w:val="en-US"/>
          </w:rPr>
          <w:t>https://www.omoprojects.com/</w:t>
        </w:r>
      </w:hyperlink>
      <w:r w:rsidRPr="00FD0555">
        <w:rPr>
          <w:rFonts w:asciiTheme="majorHAnsi" w:hAnsiTheme="majorHAnsi" w:cstheme="majorHAnsi"/>
          <w:i/>
          <w:iCs/>
          <w:sz w:val="22"/>
          <w:szCs w:val="22"/>
          <w:lang w:val="en-US"/>
        </w:rPr>
        <w:t xml:space="preserve"> )</w:t>
      </w:r>
    </w:p>
    <w:p w14:paraId="0497A74F" w14:textId="77777777" w:rsidR="00A603F0" w:rsidRPr="00FD0555" w:rsidRDefault="00A603F0" w:rsidP="00A603F0">
      <w:pPr>
        <w:ind w:left="708" w:firstLine="708"/>
        <w:rPr>
          <w:rFonts w:asciiTheme="majorHAnsi" w:hAnsiTheme="majorHAnsi" w:cstheme="majorHAnsi"/>
          <w:i/>
          <w:iCs/>
          <w:sz w:val="22"/>
          <w:szCs w:val="22"/>
          <w:lang w:val="en-US"/>
        </w:rPr>
      </w:pPr>
      <w:r w:rsidRPr="00FD0555">
        <w:rPr>
          <w:rFonts w:asciiTheme="majorHAnsi" w:hAnsiTheme="majorHAnsi" w:cstheme="majorHAnsi"/>
          <w:b/>
          <w:bCs/>
          <w:sz w:val="22"/>
          <w:szCs w:val="22"/>
          <w:lang w:val="en-US"/>
        </w:rPr>
        <w:t>Languages</w:t>
      </w:r>
      <w:r w:rsidRPr="00FD0555">
        <w:rPr>
          <w:rFonts w:asciiTheme="majorHAnsi" w:hAnsiTheme="majorHAnsi" w:cstheme="majorHAnsi"/>
          <w:b/>
          <w:bCs/>
          <w:sz w:val="22"/>
          <w:szCs w:val="22"/>
          <w:lang w:val="en-US"/>
        </w:rPr>
        <w:tab/>
      </w:r>
      <w:r w:rsidRPr="00FD0555">
        <w:rPr>
          <w:rFonts w:asciiTheme="majorHAnsi" w:hAnsiTheme="majorHAnsi" w:cstheme="majorHAnsi"/>
          <w:b/>
          <w:bCs/>
          <w:sz w:val="22"/>
          <w:szCs w:val="22"/>
          <w:lang w:val="en-US"/>
        </w:rPr>
        <w:tab/>
        <w:t>:</w:t>
      </w:r>
      <w:r w:rsidRPr="00FD0555">
        <w:rPr>
          <w:rFonts w:asciiTheme="majorHAnsi" w:hAnsiTheme="majorHAnsi" w:cstheme="majorHAnsi"/>
          <w:sz w:val="22"/>
          <w:szCs w:val="22"/>
          <w:lang w:val="en-US"/>
        </w:rPr>
        <w:t xml:space="preserve"> English with simultaneous Russian translation</w:t>
      </w:r>
    </w:p>
    <w:p w14:paraId="48FA3D6B" w14:textId="77777777" w:rsidR="00A603F0" w:rsidRPr="00FD0555" w:rsidRDefault="00A603F0" w:rsidP="00A603F0">
      <w:pPr>
        <w:ind w:left="1416"/>
        <w:rPr>
          <w:rFonts w:asciiTheme="majorHAnsi" w:hAnsiTheme="majorHAnsi" w:cstheme="majorHAnsi"/>
          <w:sz w:val="22"/>
          <w:szCs w:val="22"/>
          <w:lang w:val="en-US"/>
        </w:rPr>
      </w:pPr>
    </w:p>
    <w:p w14:paraId="1AAA063A" w14:textId="0B21D030" w:rsidR="00486C61" w:rsidRPr="00FD0555" w:rsidRDefault="00486C61" w:rsidP="00A603F0">
      <w:pPr>
        <w:jc w:val="center"/>
        <w:rPr>
          <w:lang w:val="en-US"/>
        </w:rPr>
      </w:pPr>
    </w:p>
    <w:p w14:paraId="1A3212E3" w14:textId="181D490A" w:rsidR="00A603F0" w:rsidRPr="00FD0555" w:rsidRDefault="00A603F0" w:rsidP="00A603F0">
      <w:pPr>
        <w:jc w:val="center"/>
        <w:rPr>
          <w:lang w:val="en-US"/>
        </w:rPr>
      </w:pPr>
      <w:r w:rsidRPr="00FD0555">
        <w:rPr>
          <w:lang w:val="en-US"/>
        </w:rPr>
        <w:t>Opening Remarks</w:t>
      </w:r>
    </w:p>
    <w:p w14:paraId="6A1A56E6" w14:textId="2195D5E3" w:rsidR="00A603F0" w:rsidRPr="00FD0555" w:rsidRDefault="00A603F0" w:rsidP="00A603F0">
      <w:pPr>
        <w:jc w:val="center"/>
        <w:rPr>
          <w:b/>
          <w:bCs/>
          <w:lang w:val="en-US"/>
        </w:rPr>
      </w:pPr>
      <w:r w:rsidRPr="00FD0555">
        <w:rPr>
          <w:b/>
          <w:bCs/>
          <w:lang w:val="en-US"/>
        </w:rPr>
        <w:t>By Hasan Türkyılmaz</w:t>
      </w:r>
    </w:p>
    <w:p w14:paraId="570F8F7B" w14:textId="4799A1F7" w:rsidR="00A603F0" w:rsidRPr="00FD0555" w:rsidRDefault="00A603F0" w:rsidP="00A603F0">
      <w:pPr>
        <w:jc w:val="center"/>
        <w:rPr>
          <w:lang w:val="en-US"/>
        </w:rPr>
      </w:pPr>
      <w:r w:rsidRPr="00FD0555">
        <w:rPr>
          <w:lang w:val="en-US"/>
        </w:rPr>
        <w:t>President</w:t>
      </w:r>
    </w:p>
    <w:p w14:paraId="4E69EEAC" w14:textId="77777777" w:rsidR="00A603F0" w:rsidRPr="00FD0555" w:rsidRDefault="00A603F0" w:rsidP="00A603F0">
      <w:pPr>
        <w:jc w:val="center"/>
        <w:rPr>
          <w:lang w:val="en-US"/>
        </w:rPr>
      </w:pPr>
    </w:p>
    <w:p w14:paraId="26761A1C" w14:textId="77C7FE0B" w:rsidR="00A603F0" w:rsidRPr="00FD0555" w:rsidRDefault="00A603F0" w:rsidP="00A603F0">
      <w:pPr>
        <w:jc w:val="center"/>
        <w:rPr>
          <w:lang w:val="en-US"/>
        </w:rPr>
      </w:pPr>
      <w:r w:rsidRPr="00FD0555">
        <w:rPr>
          <w:lang w:val="en-US"/>
        </w:rPr>
        <w:t>Chamber of Forest Engineers</w:t>
      </w:r>
    </w:p>
    <w:p w14:paraId="5754813E" w14:textId="77CBD016" w:rsidR="00A603F0" w:rsidRPr="00FD0555" w:rsidRDefault="00A603F0" w:rsidP="00A603F0">
      <w:pPr>
        <w:jc w:val="center"/>
        <w:rPr>
          <w:lang w:val="en-US"/>
        </w:rPr>
      </w:pPr>
      <w:r w:rsidRPr="00FD0555">
        <w:rPr>
          <w:lang w:val="en-US"/>
        </w:rPr>
        <w:t>25 September 2025</w:t>
      </w:r>
    </w:p>
    <w:p w14:paraId="0F9121F0" w14:textId="77777777" w:rsidR="00A603F0" w:rsidRPr="00FD0555" w:rsidRDefault="00A603F0" w:rsidP="00A603F0">
      <w:pPr>
        <w:jc w:val="center"/>
        <w:rPr>
          <w:lang w:val="en-US"/>
        </w:rPr>
      </w:pPr>
    </w:p>
    <w:p w14:paraId="30F2E6DB" w14:textId="7BCB8F76" w:rsidR="00A603F0" w:rsidRPr="00FD0555" w:rsidRDefault="00A603F0" w:rsidP="00A603F0">
      <w:pPr>
        <w:jc w:val="center"/>
        <w:rPr>
          <w:lang w:val="en-US"/>
        </w:rPr>
      </w:pPr>
      <w:r w:rsidRPr="00FD0555">
        <w:rPr>
          <w:lang w:val="en-US"/>
        </w:rPr>
        <w:t>09:05-09:10</w:t>
      </w:r>
    </w:p>
    <w:p w14:paraId="0B3F57F0" w14:textId="50F60DEE" w:rsidR="00A603F0" w:rsidRPr="00FD0555" w:rsidRDefault="00A603F0">
      <w:pPr>
        <w:rPr>
          <w:lang w:val="en-US"/>
        </w:rPr>
      </w:pPr>
      <w:r w:rsidRPr="00FD0555">
        <w:rPr>
          <w:lang w:val="en-US"/>
        </w:rPr>
        <w:br w:type="page"/>
      </w:r>
    </w:p>
    <w:p w14:paraId="0A814E50" w14:textId="77777777" w:rsidR="00A603F0" w:rsidRPr="00FD0555" w:rsidRDefault="00A603F0" w:rsidP="003B661A">
      <w:pPr>
        <w:rPr>
          <w:lang w:val="en-US"/>
        </w:rPr>
      </w:pPr>
    </w:p>
    <w:p w14:paraId="27D1A92C" w14:textId="77777777" w:rsidR="003B661A" w:rsidRPr="00FD0555" w:rsidRDefault="003B661A" w:rsidP="003B661A">
      <w:pPr>
        <w:rPr>
          <w:lang w:val="en-US"/>
        </w:rPr>
      </w:pPr>
    </w:p>
    <w:p w14:paraId="56381F0A" w14:textId="77777777" w:rsidR="003B661A" w:rsidRPr="00FD0555" w:rsidRDefault="003B661A" w:rsidP="003B661A">
      <w:pPr>
        <w:rPr>
          <w:lang w:val="en-US"/>
        </w:rPr>
      </w:pPr>
    </w:p>
    <w:p w14:paraId="707A3F9D"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b/>
          <w:bCs/>
          <w:kern w:val="0"/>
          <w:sz w:val="24"/>
          <w:szCs w:val="24"/>
          <w:lang w:val="en-US" w:eastAsia="tr-TR"/>
          <w14:ligatures w14:val="none"/>
        </w:rPr>
        <w:t>Distinguished Guests,</w:t>
      </w:r>
    </w:p>
    <w:p w14:paraId="1CE764D8"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Welcome to this online training prepared in cooperation with the Food and Agriculture Organization of the United Nations (FAO) and the Chamber of Forest Engineers (OMO), aimed at introducing and applying the </w:t>
      </w:r>
      <w:r w:rsidRPr="00FD0555">
        <w:rPr>
          <w:rFonts w:ascii="Times New Roman" w:eastAsia="Times New Roman" w:hAnsi="Times New Roman"/>
          <w:i/>
          <w:iCs/>
          <w:kern w:val="0"/>
          <w:sz w:val="24"/>
          <w:szCs w:val="24"/>
          <w:lang w:val="en-US" w:eastAsia="tr-TR"/>
          <w14:ligatures w14:val="none"/>
        </w:rPr>
        <w:t>“Regional Guidelines for Value Chain Development and Market Access for Non-Wood Forest Products in Southeastern Europe, Central Asia, and the Caucasus.”</w:t>
      </w:r>
    </w:p>
    <w:p w14:paraId="74148137"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On this occasion, as the President of the Chamber of Forest Engineers, I extend my heartfelt greetings to you all and wish that our program will bring fruitful outcomes for our region and our sector.</w:t>
      </w:r>
    </w:p>
    <w:p w14:paraId="51AE1783"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Today, we are gathered here not only for a training session but also to discuss the future of our forests and the foundations of rural development.</w:t>
      </w:r>
    </w:p>
    <w:p w14:paraId="1EC8D23C"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Forests are the backbone of ecosystems that sustain human life – from conserving biodiversity to combating climate change, from carbon storage to ensuring food security.</w:t>
      </w:r>
    </w:p>
    <w:p w14:paraId="193612E1"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Non-wood forest products (NWFPs) are among the most important components of these ecosystems, especially for rural communities, as they create economic value and employment opportunities.</w:t>
      </w:r>
    </w:p>
    <w:p w14:paraId="4A7EF55D"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According to the </w:t>
      </w:r>
      <w:r w:rsidRPr="00FD0555">
        <w:rPr>
          <w:rFonts w:ascii="Times New Roman" w:eastAsia="Times New Roman" w:hAnsi="Times New Roman"/>
          <w:b/>
          <w:bCs/>
          <w:kern w:val="0"/>
          <w:sz w:val="24"/>
          <w:szCs w:val="24"/>
          <w:lang w:val="en-US" w:eastAsia="tr-TR"/>
          <w14:ligatures w14:val="none"/>
        </w:rPr>
        <w:t>Türkiye Non-Wood Forest Products Report</w:t>
      </w:r>
      <w:r w:rsidRPr="00FD0555">
        <w:rPr>
          <w:rFonts w:ascii="Times New Roman" w:eastAsia="Times New Roman" w:hAnsi="Times New Roman"/>
          <w:kern w:val="0"/>
          <w:sz w:val="24"/>
          <w:szCs w:val="24"/>
          <w:lang w:val="en-US" w:eastAsia="tr-TR"/>
          <w14:ligatures w14:val="none"/>
        </w:rPr>
        <w:t xml:space="preserve"> prepared in 2020 in collaboration with FAO, OMO, and the General Directorate of Forestry, the total economic value of these products was calculated at </w:t>
      </w:r>
      <w:r w:rsidRPr="00FD0555">
        <w:rPr>
          <w:rFonts w:ascii="Times New Roman" w:eastAsia="Times New Roman" w:hAnsi="Times New Roman"/>
          <w:b/>
          <w:bCs/>
          <w:kern w:val="0"/>
          <w:sz w:val="24"/>
          <w:szCs w:val="24"/>
          <w:lang w:val="en-US" w:eastAsia="tr-TR"/>
          <w14:ligatures w14:val="none"/>
        </w:rPr>
        <w:t>880 million USD</w:t>
      </w:r>
      <w:r w:rsidRPr="00FD0555">
        <w:rPr>
          <w:rFonts w:ascii="Times New Roman" w:eastAsia="Times New Roman" w:hAnsi="Times New Roman"/>
          <w:kern w:val="0"/>
          <w:sz w:val="24"/>
          <w:szCs w:val="24"/>
          <w:lang w:val="en-US" w:eastAsia="tr-TR"/>
          <w14:ligatures w14:val="none"/>
        </w:rPr>
        <w:t>.</w:t>
      </w:r>
      <w:r w:rsidRPr="00FD0555">
        <w:rPr>
          <w:rFonts w:ascii="Times New Roman" w:eastAsia="Times New Roman" w:hAnsi="Times New Roman"/>
          <w:kern w:val="0"/>
          <w:sz w:val="24"/>
          <w:szCs w:val="24"/>
          <w:lang w:val="en-US" w:eastAsia="tr-TR"/>
          <w14:ligatures w14:val="none"/>
        </w:rPr>
        <w:br/>
        <w:t xml:space="preserve">This income provides direct economic benefits to approximately </w:t>
      </w:r>
      <w:r w:rsidRPr="00FD0555">
        <w:rPr>
          <w:rFonts w:ascii="Times New Roman" w:eastAsia="Times New Roman" w:hAnsi="Times New Roman"/>
          <w:b/>
          <w:bCs/>
          <w:kern w:val="0"/>
          <w:sz w:val="24"/>
          <w:szCs w:val="24"/>
          <w:lang w:val="en-US" w:eastAsia="tr-TR"/>
          <w14:ligatures w14:val="none"/>
        </w:rPr>
        <w:t>25,000 forest villagers</w:t>
      </w:r>
      <w:r w:rsidRPr="00FD0555">
        <w:rPr>
          <w:rFonts w:ascii="Times New Roman" w:eastAsia="Times New Roman" w:hAnsi="Times New Roman"/>
          <w:kern w:val="0"/>
          <w:sz w:val="24"/>
          <w:szCs w:val="24"/>
          <w:lang w:val="en-US" w:eastAsia="tr-TR"/>
          <w14:ligatures w14:val="none"/>
        </w:rPr>
        <w:t xml:space="preserve"> and indirectly supports </w:t>
      </w:r>
      <w:r w:rsidRPr="00FD0555">
        <w:rPr>
          <w:rFonts w:ascii="Times New Roman" w:eastAsia="Times New Roman" w:hAnsi="Times New Roman"/>
          <w:b/>
          <w:bCs/>
          <w:kern w:val="0"/>
          <w:sz w:val="24"/>
          <w:szCs w:val="24"/>
          <w:lang w:val="en-US" w:eastAsia="tr-TR"/>
          <w14:ligatures w14:val="none"/>
        </w:rPr>
        <w:t>500,000 people</w:t>
      </w:r>
      <w:r w:rsidRPr="00FD0555">
        <w:rPr>
          <w:rFonts w:ascii="Times New Roman" w:eastAsia="Times New Roman" w:hAnsi="Times New Roman"/>
          <w:kern w:val="0"/>
          <w:sz w:val="24"/>
          <w:szCs w:val="24"/>
          <w:lang w:val="en-US" w:eastAsia="tr-TR"/>
          <w14:ligatures w14:val="none"/>
        </w:rPr>
        <w:t>.</w:t>
      </w:r>
    </w:p>
    <w:p w14:paraId="0397D066"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In </w:t>
      </w:r>
      <w:r w:rsidRPr="00FD0555">
        <w:rPr>
          <w:rFonts w:ascii="Times New Roman" w:eastAsia="Times New Roman" w:hAnsi="Times New Roman"/>
          <w:b/>
          <w:bCs/>
          <w:kern w:val="0"/>
          <w:sz w:val="24"/>
          <w:szCs w:val="24"/>
          <w:lang w:val="en-US" w:eastAsia="tr-TR"/>
          <w14:ligatures w14:val="none"/>
        </w:rPr>
        <w:t>2019 alone</w:t>
      </w:r>
      <w:r w:rsidRPr="00FD0555">
        <w:rPr>
          <w:rFonts w:ascii="Times New Roman" w:eastAsia="Times New Roman" w:hAnsi="Times New Roman"/>
          <w:kern w:val="0"/>
          <w:sz w:val="24"/>
          <w:szCs w:val="24"/>
          <w:lang w:val="en-US" w:eastAsia="tr-TR"/>
          <w14:ligatures w14:val="none"/>
        </w:rPr>
        <w:t xml:space="preserve">, the income generated by forest villagers from these products reached </w:t>
      </w:r>
      <w:r w:rsidRPr="00FD0555">
        <w:rPr>
          <w:rFonts w:ascii="Times New Roman" w:eastAsia="Times New Roman" w:hAnsi="Times New Roman"/>
          <w:b/>
          <w:bCs/>
          <w:kern w:val="0"/>
          <w:sz w:val="24"/>
          <w:szCs w:val="24"/>
          <w:lang w:val="en-US" w:eastAsia="tr-TR"/>
          <w14:ligatures w14:val="none"/>
        </w:rPr>
        <w:t>123 million USD</w:t>
      </w:r>
      <w:r w:rsidRPr="00FD0555">
        <w:rPr>
          <w:rFonts w:ascii="Times New Roman" w:eastAsia="Times New Roman" w:hAnsi="Times New Roman"/>
          <w:kern w:val="0"/>
          <w:sz w:val="24"/>
          <w:szCs w:val="24"/>
          <w:lang w:val="en-US" w:eastAsia="tr-TR"/>
          <w14:ligatures w14:val="none"/>
        </w:rPr>
        <w:t>.</w:t>
      </w:r>
      <w:r w:rsidRPr="00FD0555">
        <w:rPr>
          <w:rFonts w:ascii="Times New Roman" w:eastAsia="Times New Roman" w:hAnsi="Times New Roman"/>
          <w:kern w:val="0"/>
          <w:sz w:val="24"/>
          <w:szCs w:val="24"/>
          <w:lang w:val="en-US" w:eastAsia="tr-TR"/>
          <w14:ligatures w14:val="none"/>
        </w:rPr>
        <w:br/>
        <w:t>These figures clearly reveal the significant role that non-wood forest products play in our national economy.</w:t>
      </w:r>
    </w:p>
    <w:p w14:paraId="722283D6"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Products such as </w:t>
      </w:r>
      <w:r w:rsidRPr="00FD0555">
        <w:rPr>
          <w:rFonts w:ascii="Times New Roman" w:eastAsia="Times New Roman" w:hAnsi="Times New Roman"/>
          <w:b/>
          <w:bCs/>
          <w:kern w:val="0"/>
          <w:sz w:val="24"/>
          <w:szCs w:val="24"/>
          <w:lang w:val="en-US" w:eastAsia="tr-TR"/>
          <w14:ligatures w14:val="none"/>
        </w:rPr>
        <w:t>laurel, chestnut, pine honey, mushrooms, and medicinal-aromatic plants</w:t>
      </w:r>
      <w:r w:rsidRPr="00FD0555">
        <w:rPr>
          <w:rFonts w:ascii="Times New Roman" w:eastAsia="Times New Roman" w:hAnsi="Times New Roman"/>
          <w:kern w:val="0"/>
          <w:sz w:val="24"/>
          <w:szCs w:val="24"/>
          <w:lang w:val="en-US" w:eastAsia="tr-TR"/>
          <w14:ligatures w14:val="none"/>
        </w:rPr>
        <w:t xml:space="preserve"> are not only sources of economic gain but are also critical for food security and the preservation of cultural heritage.</w:t>
      </w:r>
    </w:p>
    <w:p w14:paraId="31289E15"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However, unfortunately, these products are often harvested using unsustainable methods and introduced to the market with low added value.</w:t>
      </w:r>
      <w:r w:rsidRPr="00FD0555">
        <w:rPr>
          <w:rFonts w:ascii="Times New Roman" w:eastAsia="Times New Roman" w:hAnsi="Times New Roman"/>
          <w:kern w:val="0"/>
          <w:sz w:val="24"/>
          <w:szCs w:val="24"/>
          <w:lang w:val="en-US" w:eastAsia="tr-TR"/>
          <w14:ligatures w14:val="none"/>
        </w:rPr>
        <w:br/>
        <w:t>This both harms biodiversity and limits the potential for rural development.</w:t>
      </w:r>
    </w:p>
    <w:p w14:paraId="7E45507C"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Recognizing this need, a </w:t>
      </w:r>
      <w:r w:rsidRPr="00FD0555">
        <w:rPr>
          <w:rFonts w:ascii="Times New Roman" w:eastAsia="Times New Roman" w:hAnsi="Times New Roman"/>
          <w:b/>
          <w:bCs/>
          <w:kern w:val="0"/>
          <w:sz w:val="24"/>
          <w:szCs w:val="24"/>
          <w:lang w:val="en-US" w:eastAsia="tr-TR"/>
          <w14:ligatures w14:val="none"/>
        </w:rPr>
        <w:t>Letter of Agreement (LoA)</w:t>
      </w:r>
      <w:r w:rsidRPr="00FD0555">
        <w:rPr>
          <w:rFonts w:ascii="Times New Roman" w:eastAsia="Times New Roman" w:hAnsi="Times New Roman"/>
          <w:kern w:val="0"/>
          <w:sz w:val="24"/>
          <w:szCs w:val="24"/>
          <w:lang w:val="en-US" w:eastAsia="tr-TR"/>
          <w14:ligatures w14:val="none"/>
        </w:rPr>
        <w:t xml:space="preserve"> was signed between FAO and OMO on </w:t>
      </w:r>
      <w:r w:rsidRPr="00FD0555">
        <w:rPr>
          <w:rFonts w:ascii="Times New Roman" w:eastAsia="Times New Roman" w:hAnsi="Times New Roman"/>
          <w:b/>
          <w:bCs/>
          <w:kern w:val="0"/>
          <w:sz w:val="24"/>
          <w:szCs w:val="24"/>
          <w:lang w:val="en-US" w:eastAsia="tr-TR"/>
          <w14:ligatures w14:val="none"/>
        </w:rPr>
        <w:t>29 August 2024</w:t>
      </w:r>
      <w:r w:rsidRPr="00FD0555">
        <w:rPr>
          <w:rFonts w:ascii="Times New Roman" w:eastAsia="Times New Roman" w:hAnsi="Times New Roman"/>
          <w:kern w:val="0"/>
          <w:sz w:val="24"/>
          <w:szCs w:val="24"/>
          <w:lang w:val="en-US" w:eastAsia="tr-TR"/>
          <w14:ligatures w14:val="none"/>
        </w:rPr>
        <w:t xml:space="preserve">, with the aim of preparing the </w:t>
      </w:r>
      <w:r w:rsidRPr="00FD0555">
        <w:rPr>
          <w:rFonts w:ascii="Times New Roman" w:eastAsia="Times New Roman" w:hAnsi="Times New Roman"/>
          <w:i/>
          <w:iCs/>
          <w:kern w:val="0"/>
          <w:sz w:val="24"/>
          <w:szCs w:val="24"/>
          <w:lang w:val="en-US" w:eastAsia="tr-TR"/>
          <w14:ligatures w14:val="none"/>
        </w:rPr>
        <w:t>“Regional Guidelines for Value Chain Development and Market Access for Non-Wood Forest Products in Southeastern Europe, Central Asia, and the Caucasus.”</w:t>
      </w:r>
    </w:p>
    <w:p w14:paraId="442DA27A"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lastRenderedPageBreak/>
        <w:t xml:space="preserve">In this context, the </w:t>
      </w:r>
      <w:r w:rsidRPr="00FD0555">
        <w:rPr>
          <w:rFonts w:ascii="Times New Roman" w:eastAsia="Times New Roman" w:hAnsi="Times New Roman"/>
          <w:b/>
          <w:bCs/>
          <w:kern w:val="0"/>
          <w:sz w:val="24"/>
          <w:szCs w:val="24"/>
          <w:lang w:val="en-US" w:eastAsia="tr-TR"/>
          <w14:ligatures w14:val="none"/>
        </w:rPr>
        <w:t>International Non-Wood Forest Products Workshop</w:t>
      </w:r>
      <w:r w:rsidRPr="00FD0555">
        <w:rPr>
          <w:rFonts w:ascii="Times New Roman" w:eastAsia="Times New Roman" w:hAnsi="Times New Roman"/>
          <w:kern w:val="0"/>
          <w:sz w:val="24"/>
          <w:szCs w:val="24"/>
          <w:lang w:val="en-US" w:eastAsia="tr-TR"/>
          <w14:ligatures w14:val="none"/>
        </w:rPr>
        <w:t xml:space="preserve"> held in </w:t>
      </w:r>
      <w:r w:rsidRPr="00FD0555">
        <w:rPr>
          <w:rFonts w:ascii="Times New Roman" w:eastAsia="Times New Roman" w:hAnsi="Times New Roman"/>
          <w:b/>
          <w:bCs/>
          <w:kern w:val="0"/>
          <w:sz w:val="24"/>
          <w:szCs w:val="24"/>
          <w:lang w:val="en-US" w:eastAsia="tr-TR"/>
          <w14:ligatures w14:val="none"/>
        </w:rPr>
        <w:t xml:space="preserve">Fethiye, </w:t>
      </w:r>
      <w:proofErr w:type="spellStart"/>
      <w:r w:rsidRPr="00FD0555">
        <w:rPr>
          <w:rFonts w:ascii="Times New Roman" w:eastAsia="Times New Roman" w:hAnsi="Times New Roman"/>
          <w:b/>
          <w:bCs/>
          <w:kern w:val="0"/>
          <w:sz w:val="24"/>
          <w:szCs w:val="24"/>
          <w:lang w:val="en-US" w:eastAsia="tr-TR"/>
          <w14:ligatures w14:val="none"/>
        </w:rPr>
        <w:t>Muğla</w:t>
      </w:r>
      <w:proofErr w:type="spellEnd"/>
      <w:r w:rsidRPr="00FD0555">
        <w:rPr>
          <w:rFonts w:ascii="Times New Roman" w:eastAsia="Times New Roman" w:hAnsi="Times New Roman"/>
          <w:b/>
          <w:bCs/>
          <w:kern w:val="0"/>
          <w:sz w:val="24"/>
          <w:szCs w:val="24"/>
          <w:lang w:val="en-US" w:eastAsia="tr-TR"/>
          <w14:ligatures w14:val="none"/>
        </w:rPr>
        <w:t>, between 7-12 October 2024</w:t>
      </w:r>
      <w:r w:rsidRPr="00FD0555">
        <w:rPr>
          <w:rFonts w:ascii="Times New Roman" w:eastAsia="Times New Roman" w:hAnsi="Times New Roman"/>
          <w:kern w:val="0"/>
          <w:sz w:val="24"/>
          <w:szCs w:val="24"/>
          <w:lang w:val="en-US" w:eastAsia="tr-TR"/>
          <w14:ligatures w14:val="none"/>
        </w:rPr>
        <w:t>, laid the foundation for these guidelines.</w:t>
      </w:r>
    </w:p>
    <w:p w14:paraId="25BEFEDC"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After an intensive preparation process, the </w:t>
      </w:r>
      <w:r w:rsidRPr="00FD0555">
        <w:rPr>
          <w:rFonts w:ascii="Times New Roman" w:eastAsia="Times New Roman" w:hAnsi="Times New Roman"/>
          <w:b/>
          <w:bCs/>
          <w:kern w:val="0"/>
          <w:sz w:val="24"/>
          <w:szCs w:val="24"/>
          <w:lang w:val="en-US" w:eastAsia="tr-TR"/>
          <w14:ligatures w14:val="none"/>
        </w:rPr>
        <w:t>Regional Guidelines</w:t>
      </w:r>
      <w:r w:rsidRPr="00FD0555">
        <w:rPr>
          <w:rFonts w:ascii="Times New Roman" w:eastAsia="Times New Roman" w:hAnsi="Times New Roman"/>
          <w:kern w:val="0"/>
          <w:sz w:val="24"/>
          <w:szCs w:val="24"/>
          <w:lang w:val="en-US" w:eastAsia="tr-TR"/>
          <w14:ligatures w14:val="none"/>
        </w:rPr>
        <w:t xml:space="preserve"> were completed in </w:t>
      </w:r>
      <w:r w:rsidRPr="00FD0555">
        <w:rPr>
          <w:rFonts w:ascii="Times New Roman" w:eastAsia="Times New Roman" w:hAnsi="Times New Roman"/>
          <w:b/>
          <w:bCs/>
          <w:kern w:val="0"/>
          <w:sz w:val="24"/>
          <w:szCs w:val="24"/>
          <w:lang w:val="en-US" w:eastAsia="tr-TR"/>
          <w14:ligatures w14:val="none"/>
        </w:rPr>
        <w:t>August 2025</w:t>
      </w:r>
      <w:r w:rsidRPr="00FD0555">
        <w:rPr>
          <w:rFonts w:ascii="Times New Roman" w:eastAsia="Times New Roman" w:hAnsi="Times New Roman"/>
          <w:kern w:val="0"/>
          <w:sz w:val="24"/>
          <w:szCs w:val="24"/>
          <w:lang w:val="en-US" w:eastAsia="tr-TR"/>
          <w14:ligatures w14:val="none"/>
        </w:rPr>
        <w:t xml:space="preserve"> and are now ready to be introduced to you today.</w:t>
      </w:r>
    </w:p>
    <w:p w14:paraId="2B43FDEA"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Today’s training represents an important step toward the implementation of these guidelines.</w:t>
      </w:r>
    </w:p>
    <w:p w14:paraId="006E77B4" w14:textId="77777777" w:rsidR="00FD0555" w:rsidRPr="00FD0555" w:rsidRDefault="00FD0555" w:rsidP="00FD0555">
      <w:pPr>
        <w:spacing w:before="100" w:beforeAutospacing="1" w:after="100" w:afterAutospacing="1"/>
        <w:outlineLvl w:val="2"/>
        <w:rPr>
          <w:rFonts w:ascii="Times New Roman" w:eastAsia="Times New Roman" w:hAnsi="Times New Roman"/>
          <w:b/>
          <w:bCs/>
          <w:kern w:val="0"/>
          <w:sz w:val="27"/>
          <w:szCs w:val="27"/>
          <w:lang w:val="en-US" w:eastAsia="tr-TR"/>
          <w14:ligatures w14:val="none"/>
        </w:rPr>
      </w:pPr>
      <w:r w:rsidRPr="00FD0555">
        <w:rPr>
          <w:rFonts w:ascii="Times New Roman" w:eastAsia="Times New Roman" w:hAnsi="Times New Roman"/>
          <w:b/>
          <w:bCs/>
          <w:kern w:val="0"/>
          <w:sz w:val="27"/>
          <w:szCs w:val="27"/>
          <w:lang w:val="en-US" w:eastAsia="tr-TR"/>
          <w14:ligatures w14:val="none"/>
        </w:rPr>
        <w:t>Our Objectives Are:</w:t>
      </w:r>
    </w:p>
    <w:p w14:paraId="28F2F475" w14:textId="77777777" w:rsidR="00FD0555" w:rsidRPr="00FD0555" w:rsidRDefault="00FD0555" w:rsidP="00FD0555">
      <w:pPr>
        <w:numPr>
          <w:ilvl w:val="0"/>
          <w:numId w:val="3"/>
        </w:num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Strengthening value chain management in countries,</w:t>
      </w:r>
    </w:p>
    <w:p w14:paraId="0B98EB99" w14:textId="77777777" w:rsidR="00FD0555" w:rsidRPr="00FD0555" w:rsidRDefault="00FD0555" w:rsidP="00FD0555">
      <w:pPr>
        <w:numPr>
          <w:ilvl w:val="0"/>
          <w:numId w:val="3"/>
        </w:num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Increasing market access,</w:t>
      </w:r>
    </w:p>
    <w:p w14:paraId="04930951" w14:textId="77777777" w:rsidR="00FD0555" w:rsidRPr="00FD0555" w:rsidRDefault="00FD0555" w:rsidP="00FD0555">
      <w:pPr>
        <w:numPr>
          <w:ilvl w:val="0"/>
          <w:numId w:val="3"/>
        </w:num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Promoting sustainable development of rural economies,</w:t>
      </w:r>
    </w:p>
    <w:p w14:paraId="17D91127" w14:textId="77777777" w:rsidR="00FD0555" w:rsidRPr="00FD0555" w:rsidRDefault="00FD0555" w:rsidP="00FD0555">
      <w:pPr>
        <w:numPr>
          <w:ilvl w:val="0"/>
          <w:numId w:val="3"/>
        </w:num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Sharing knowledge, experience, and best practices related to non-wood forest products.</w:t>
      </w:r>
    </w:p>
    <w:p w14:paraId="7D73C125"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The knowledge and methods you will gain in this process will directly contribute to increasing the incomes of forest villagers, protecting biodiversity, and strengthening forest-based economies.</w:t>
      </w:r>
    </w:p>
    <w:p w14:paraId="5CC5A4EF"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 xml:space="preserve">As the Chamber of Forest Engineers, we strongly believe that forest-based value chains play a critical role in building a </w:t>
      </w:r>
      <w:r w:rsidRPr="00FD0555">
        <w:rPr>
          <w:rFonts w:ascii="Times New Roman" w:eastAsia="Times New Roman" w:hAnsi="Times New Roman"/>
          <w:b/>
          <w:bCs/>
          <w:kern w:val="0"/>
          <w:sz w:val="24"/>
          <w:szCs w:val="24"/>
          <w:lang w:val="en-US" w:eastAsia="tr-TR"/>
          <w14:ligatures w14:val="none"/>
        </w:rPr>
        <w:t>sustainable bioeconomy</w:t>
      </w:r>
      <w:r w:rsidRPr="00FD0555">
        <w:rPr>
          <w:rFonts w:ascii="Times New Roman" w:eastAsia="Times New Roman" w:hAnsi="Times New Roman"/>
          <w:kern w:val="0"/>
          <w:sz w:val="24"/>
          <w:szCs w:val="24"/>
          <w:lang w:val="en-US" w:eastAsia="tr-TR"/>
          <w14:ligatures w14:val="none"/>
        </w:rPr>
        <w:t xml:space="preserve"> and achieving a </w:t>
      </w:r>
      <w:r w:rsidRPr="00FD0555">
        <w:rPr>
          <w:rFonts w:ascii="Times New Roman" w:eastAsia="Times New Roman" w:hAnsi="Times New Roman"/>
          <w:b/>
          <w:bCs/>
          <w:kern w:val="0"/>
          <w:sz w:val="24"/>
          <w:szCs w:val="24"/>
          <w:lang w:val="en-US" w:eastAsia="tr-TR"/>
          <w14:ligatures w14:val="none"/>
        </w:rPr>
        <w:t>carbon-neutral future</w:t>
      </w:r>
      <w:r w:rsidRPr="00FD0555">
        <w:rPr>
          <w:rFonts w:ascii="Times New Roman" w:eastAsia="Times New Roman" w:hAnsi="Times New Roman"/>
          <w:kern w:val="0"/>
          <w:sz w:val="24"/>
          <w:szCs w:val="24"/>
          <w:lang w:val="en-US" w:eastAsia="tr-TR"/>
          <w14:ligatures w14:val="none"/>
        </w:rPr>
        <w:t>.</w:t>
      </w:r>
    </w:p>
    <w:p w14:paraId="5406BDC5"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On this occasion, I would like to express my gratitude to FAO, the General Directorate of Forestry, our Ministry of Agriculture and Forestry, and all stakeholders who contributed to the preparation of the guidelines.</w:t>
      </w:r>
    </w:p>
    <w:p w14:paraId="21AB21BC"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I wholeheartedly believe that today’s training will improve the welfare of local producers and help establish a lasting network of cooperation across the region.</w:t>
      </w:r>
    </w:p>
    <w:p w14:paraId="3D39E3BE"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kern w:val="0"/>
          <w:sz w:val="24"/>
          <w:szCs w:val="24"/>
          <w:lang w:val="en-US" w:eastAsia="tr-TR"/>
          <w14:ligatures w14:val="none"/>
        </w:rPr>
        <w:t>I wish you all a productive training session and extend my respectful greetings to each of you.</w:t>
      </w:r>
    </w:p>
    <w:p w14:paraId="70E2BD92" w14:textId="77777777" w:rsidR="00FD0555" w:rsidRPr="00FD0555" w:rsidRDefault="00FD0555" w:rsidP="00FD0555">
      <w:pPr>
        <w:spacing w:before="100" w:beforeAutospacing="1" w:after="100" w:afterAutospacing="1"/>
        <w:rPr>
          <w:rFonts w:ascii="Times New Roman" w:eastAsia="Times New Roman" w:hAnsi="Times New Roman"/>
          <w:kern w:val="0"/>
          <w:sz w:val="24"/>
          <w:szCs w:val="24"/>
          <w:lang w:val="en-US" w:eastAsia="tr-TR"/>
          <w14:ligatures w14:val="none"/>
        </w:rPr>
      </w:pPr>
      <w:r w:rsidRPr="00FD0555">
        <w:rPr>
          <w:rFonts w:ascii="Times New Roman" w:eastAsia="Times New Roman" w:hAnsi="Times New Roman"/>
          <w:b/>
          <w:bCs/>
          <w:kern w:val="0"/>
          <w:sz w:val="24"/>
          <w:szCs w:val="24"/>
          <w:lang w:val="en-US" w:eastAsia="tr-TR"/>
          <w14:ligatures w14:val="none"/>
        </w:rPr>
        <w:t>Thank you.</w:t>
      </w:r>
    </w:p>
    <w:p w14:paraId="42CF0A85" w14:textId="69DFD0FD" w:rsidR="003B661A" w:rsidRPr="00FD0555" w:rsidRDefault="003B661A" w:rsidP="00FD0555">
      <w:pPr>
        <w:rPr>
          <w:lang w:val="en-US"/>
        </w:rPr>
      </w:pPr>
    </w:p>
    <w:sectPr w:rsidR="003B661A" w:rsidRPr="00FD055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52F9F" w14:textId="77777777" w:rsidR="009F578C" w:rsidRDefault="009F578C" w:rsidP="00A603F0">
      <w:r>
        <w:separator/>
      </w:r>
    </w:p>
  </w:endnote>
  <w:endnote w:type="continuationSeparator" w:id="0">
    <w:p w14:paraId="1C085BFE" w14:textId="77777777" w:rsidR="009F578C" w:rsidRDefault="009F578C" w:rsidP="00A6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CD13" w14:textId="77777777" w:rsidR="009F578C" w:rsidRDefault="009F578C" w:rsidP="00A603F0">
      <w:r>
        <w:separator/>
      </w:r>
    </w:p>
  </w:footnote>
  <w:footnote w:type="continuationSeparator" w:id="0">
    <w:p w14:paraId="2F7B0DF7" w14:textId="77777777" w:rsidR="009F578C" w:rsidRDefault="009F578C" w:rsidP="00A6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2B2E" w14:textId="645D6A5A" w:rsidR="00A603F0" w:rsidRDefault="00A603F0">
    <w:pPr>
      <w:pStyle w:val="stBilgi"/>
    </w:pPr>
    <w:r>
      <w:rPr>
        <w:noProof/>
      </w:rPr>
      <w:drawing>
        <wp:inline distT="0" distB="0" distL="0" distR="0" wp14:anchorId="6EC5F335" wp14:editId="6F42070C">
          <wp:extent cx="617220" cy="617969"/>
          <wp:effectExtent l="0" t="0" r="0" b="0"/>
          <wp:docPr id="18610563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56337" name="Resim 1861056337"/>
                  <pic:cNvPicPr/>
                </pic:nvPicPr>
                <pic:blipFill>
                  <a:blip r:embed="rId1">
                    <a:extLst>
                      <a:ext uri="{28A0092B-C50C-407E-A947-70E740481C1C}">
                        <a14:useLocalDpi xmlns:a14="http://schemas.microsoft.com/office/drawing/2010/main" val="0"/>
                      </a:ext>
                    </a:extLst>
                  </a:blip>
                  <a:stretch>
                    <a:fillRect/>
                  </a:stretch>
                </pic:blipFill>
                <pic:spPr>
                  <a:xfrm>
                    <a:off x="0" y="0"/>
                    <a:ext cx="633851" cy="6346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03F1A"/>
    <w:multiLevelType w:val="multilevel"/>
    <w:tmpl w:val="295E6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5B28A8"/>
    <w:multiLevelType w:val="multilevel"/>
    <w:tmpl w:val="B96A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CE7AB1"/>
    <w:multiLevelType w:val="multilevel"/>
    <w:tmpl w:val="7322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1949258">
    <w:abstractNumId w:val="0"/>
  </w:num>
  <w:num w:numId="2" w16cid:durableId="730926609">
    <w:abstractNumId w:val="2"/>
  </w:num>
  <w:num w:numId="3" w16cid:durableId="767699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B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1"/>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118"/>
    <w:rsid w:val="001C05D9"/>
    <w:rsid w:val="001C1ED3"/>
    <w:rsid w:val="00391687"/>
    <w:rsid w:val="003967E3"/>
    <w:rsid w:val="003B661A"/>
    <w:rsid w:val="00471346"/>
    <w:rsid w:val="00486C61"/>
    <w:rsid w:val="00915073"/>
    <w:rsid w:val="009F578C"/>
    <w:rsid w:val="00A603F0"/>
    <w:rsid w:val="00B427C8"/>
    <w:rsid w:val="00BD1118"/>
    <w:rsid w:val="00E02A20"/>
    <w:rsid w:val="00E91FDC"/>
    <w:rsid w:val="00F67591"/>
    <w:rsid w:val="00FD05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B1DC"/>
  <w15:chartTrackingRefBased/>
  <w15:docId w15:val="{7C02B38B-E744-4B95-AD9B-1F2A342EC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0"/>
  </w:style>
  <w:style w:type="paragraph" w:styleId="Balk1">
    <w:name w:val="heading 1"/>
    <w:basedOn w:val="Normal"/>
    <w:next w:val="Normal"/>
    <w:link w:val="Balk1Char"/>
    <w:uiPriority w:val="9"/>
    <w:qFormat/>
    <w:rsid w:val="00B427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BD11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BD111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BD111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Balk5">
    <w:name w:val="heading 5"/>
    <w:basedOn w:val="Normal"/>
    <w:next w:val="Normal"/>
    <w:link w:val="Balk5Char"/>
    <w:uiPriority w:val="9"/>
    <w:semiHidden/>
    <w:unhideWhenUsed/>
    <w:qFormat/>
    <w:rsid w:val="00BD1118"/>
    <w:pPr>
      <w:keepNext/>
      <w:keepLines/>
      <w:spacing w:before="80" w:after="40"/>
      <w:outlineLvl w:val="4"/>
    </w:pPr>
    <w:rPr>
      <w:rFonts w:asciiTheme="minorHAnsi" w:eastAsiaTheme="majorEastAsia" w:hAnsiTheme="minorHAnsi" w:cstheme="majorBidi"/>
      <w:color w:val="2F5496" w:themeColor="accent1" w:themeShade="BF"/>
    </w:rPr>
  </w:style>
  <w:style w:type="paragraph" w:styleId="Balk6">
    <w:name w:val="heading 6"/>
    <w:basedOn w:val="Normal"/>
    <w:next w:val="Normal"/>
    <w:link w:val="Balk6Char"/>
    <w:uiPriority w:val="9"/>
    <w:semiHidden/>
    <w:unhideWhenUsed/>
    <w:qFormat/>
    <w:rsid w:val="00BD1118"/>
    <w:pPr>
      <w:keepNext/>
      <w:keepLines/>
      <w:spacing w:before="4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BD1118"/>
    <w:pPr>
      <w:keepNext/>
      <w:keepLines/>
      <w:spacing w:before="4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BD1118"/>
    <w:pPr>
      <w:keepNext/>
      <w:keepLines/>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BD1118"/>
    <w:pPr>
      <w:keepNext/>
      <w:keepLines/>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Balk1"/>
    <w:autoRedefine/>
    <w:qFormat/>
    <w:rsid w:val="00B427C8"/>
    <w:rPr>
      <w:b/>
      <w:sz w:val="28"/>
    </w:rPr>
  </w:style>
  <w:style w:type="character" w:customStyle="1" w:styleId="Balk1Char">
    <w:name w:val="Başlık 1 Char"/>
    <w:basedOn w:val="VarsaylanParagrafYazTipi"/>
    <w:link w:val="Balk1"/>
    <w:uiPriority w:val="9"/>
    <w:rsid w:val="00B427C8"/>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BD1118"/>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BD1118"/>
    <w:rPr>
      <w:rFonts w:asciiTheme="minorHAnsi" w:eastAsiaTheme="majorEastAsia" w:hAnsiTheme="minorHAnsi"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BD1118"/>
    <w:rPr>
      <w:rFonts w:asciiTheme="minorHAnsi" w:eastAsiaTheme="majorEastAsia" w:hAnsiTheme="minorHAnsi" w:cstheme="majorBidi"/>
      <w:i/>
      <w:iCs/>
      <w:color w:val="2F5496" w:themeColor="accent1" w:themeShade="BF"/>
    </w:rPr>
  </w:style>
  <w:style w:type="character" w:customStyle="1" w:styleId="Balk5Char">
    <w:name w:val="Başlık 5 Char"/>
    <w:basedOn w:val="VarsaylanParagrafYazTipi"/>
    <w:link w:val="Balk5"/>
    <w:uiPriority w:val="9"/>
    <w:semiHidden/>
    <w:rsid w:val="00BD1118"/>
    <w:rPr>
      <w:rFonts w:asciiTheme="minorHAnsi" w:eastAsiaTheme="majorEastAsia" w:hAnsiTheme="minorHAnsi" w:cstheme="majorBidi"/>
      <w:color w:val="2F5496" w:themeColor="accent1" w:themeShade="BF"/>
    </w:rPr>
  </w:style>
  <w:style w:type="character" w:customStyle="1" w:styleId="Balk6Char">
    <w:name w:val="Başlık 6 Char"/>
    <w:basedOn w:val="VarsaylanParagrafYazTipi"/>
    <w:link w:val="Balk6"/>
    <w:uiPriority w:val="9"/>
    <w:semiHidden/>
    <w:rsid w:val="00BD1118"/>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BD1118"/>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BD1118"/>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BD1118"/>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BD1118"/>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D111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D111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D1118"/>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BD1118"/>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BD1118"/>
    <w:rPr>
      <w:i/>
      <w:iCs/>
      <w:color w:val="404040" w:themeColor="text1" w:themeTint="BF"/>
    </w:rPr>
  </w:style>
  <w:style w:type="paragraph" w:styleId="ListeParagraf">
    <w:name w:val="List Paragraph"/>
    <w:basedOn w:val="Normal"/>
    <w:uiPriority w:val="34"/>
    <w:qFormat/>
    <w:rsid w:val="00BD1118"/>
    <w:pPr>
      <w:ind w:left="720"/>
      <w:contextualSpacing/>
    </w:pPr>
  </w:style>
  <w:style w:type="character" w:styleId="GlVurgulama">
    <w:name w:val="Intense Emphasis"/>
    <w:basedOn w:val="VarsaylanParagrafYazTipi"/>
    <w:uiPriority w:val="21"/>
    <w:qFormat/>
    <w:rsid w:val="00BD1118"/>
    <w:rPr>
      <w:i/>
      <w:iCs/>
      <w:color w:val="2F5496" w:themeColor="accent1" w:themeShade="BF"/>
    </w:rPr>
  </w:style>
  <w:style w:type="paragraph" w:styleId="GlAlnt">
    <w:name w:val="Intense Quote"/>
    <w:basedOn w:val="Normal"/>
    <w:next w:val="Normal"/>
    <w:link w:val="GlAlntChar"/>
    <w:uiPriority w:val="30"/>
    <w:qFormat/>
    <w:rsid w:val="00BD11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BD1118"/>
    <w:rPr>
      <w:i/>
      <w:iCs/>
      <w:color w:val="2F5496" w:themeColor="accent1" w:themeShade="BF"/>
    </w:rPr>
  </w:style>
  <w:style w:type="character" w:styleId="GlBavuru">
    <w:name w:val="Intense Reference"/>
    <w:basedOn w:val="VarsaylanParagrafYazTipi"/>
    <w:uiPriority w:val="32"/>
    <w:qFormat/>
    <w:rsid w:val="00BD1118"/>
    <w:rPr>
      <w:b/>
      <w:bCs/>
      <w:smallCaps/>
      <w:color w:val="2F5496" w:themeColor="accent1" w:themeShade="BF"/>
      <w:spacing w:val="5"/>
    </w:rPr>
  </w:style>
  <w:style w:type="character" w:styleId="Kpr">
    <w:name w:val="Hyperlink"/>
    <w:basedOn w:val="VarsaylanParagrafYazTipi"/>
    <w:uiPriority w:val="99"/>
    <w:unhideWhenUsed/>
    <w:rsid w:val="00A603F0"/>
    <w:rPr>
      <w:color w:val="0563C1" w:themeColor="hyperlink"/>
      <w:u w:val="single"/>
    </w:rPr>
  </w:style>
  <w:style w:type="paragraph" w:styleId="stBilgi">
    <w:name w:val="header"/>
    <w:basedOn w:val="Normal"/>
    <w:link w:val="stBilgiChar"/>
    <w:uiPriority w:val="99"/>
    <w:unhideWhenUsed/>
    <w:rsid w:val="00A603F0"/>
    <w:pPr>
      <w:tabs>
        <w:tab w:val="center" w:pos="4536"/>
        <w:tab w:val="right" w:pos="9072"/>
      </w:tabs>
    </w:pPr>
  </w:style>
  <w:style w:type="character" w:customStyle="1" w:styleId="stBilgiChar">
    <w:name w:val="Üst Bilgi Char"/>
    <w:basedOn w:val="VarsaylanParagrafYazTipi"/>
    <w:link w:val="stBilgi"/>
    <w:uiPriority w:val="99"/>
    <w:rsid w:val="00A603F0"/>
  </w:style>
  <w:style w:type="paragraph" w:styleId="AltBilgi">
    <w:name w:val="footer"/>
    <w:basedOn w:val="Normal"/>
    <w:link w:val="AltBilgiChar"/>
    <w:uiPriority w:val="99"/>
    <w:unhideWhenUsed/>
    <w:rsid w:val="00A603F0"/>
    <w:pPr>
      <w:tabs>
        <w:tab w:val="center" w:pos="4536"/>
        <w:tab w:val="right" w:pos="9072"/>
      </w:tabs>
    </w:pPr>
  </w:style>
  <w:style w:type="character" w:customStyle="1" w:styleId="AltBilgiChar">
    <w:name w:val="Alt Bilgi Char"/>
    <w:basedOn w:val="VarsaylanParagrafYazTipi"/>
    <w:link w:val="AltBilgi"/>
    <w:uiPriority w:val="99"/>
    <w:rsid w:val="00A60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moprojects.com/" TargetMode="External"/><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667</Words>
  <Characters>3802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Belen</dc:creator>
  <cp:keywords/>
  <dc:description/>
  <cp:lastModifiedBy>İsmail Belen</cp:lastModifiedBy>
  <cp:revision>4</cp:revision>
  <dcterms:created xsi:type="dcterms:W3CDTF">2025-09-22T03:42:00Z</dcterms:created>
  <dcterms:modified xsi:type="dcterms:W3CDTF">2025-09-22T04:41:00Z</dcterms:modified>
</cp:coreProperties>
</file>